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221BE" w:rsidTr="005221BE">
        <w:tc>
          <w:tcPr>
            <w:tcW w:w="5341" w:type="dxa"/>
            <w:vAlign w:val="center"/>
          </w:tcPr>
          <w:p w:rsidR="005221BE" w:rsidRPr="005221BE" w:rsidRDefault="005221BE" w:rsidP="005221BE">
            <w:pPr>
              <w:jc w:val="left"/>
              <w:rPr>
                <w:rFonts w:ascii="Arial" w:hAnsi="Arial" w:cs="Arial"/>
                <w:color w:val="0B607F"/>
                <w:sz w:val="28"/>
                <w:szCs w:val="28"/>
              </w:rPr>
            </w:pPr>
            <w:r w:rsidRPr="005221BE">
              <w:rPr>
                <w:rFonts w:ascii="Arial" w:hAnsi="Arial" w:cs="Arial"/>
                <w:color w:val="0B607F"/>
                <w:sz w:val="28"/>
                <w:szCs w:val="28"/>
              </w:rPr>
              <w:t>Самостоятельное внедрение системы продаж юридическим лицам</w:t>
            </w:r>
          </w:p>
        </w:tc>
        <w:tc>
          <w:tcPr>
            <w:tcW w:w="5341" w:type="dxa"/>
          </w:tcPr>
          <w:p w:rsidR="005221BE" w:rsidRDefault="005221BE" w:rsidP="005221B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5715" cy="627410"/>
                  <wp:effectExtent l="19050" t="0" r="2185" b="0"/>
                  <wp:docPr id="1" name="Рисунок 0" descr="logo BSSnfo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SSnfor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484" cy="62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9F2" w:rsidRDefault="00E649F2">
      <w:pPr>
        <w:rPr>
          <w:lang w:val="en-US"/>
        </w:rPr>
      </w:pPr>
    </w:p>
    <w:p w:rsidR="005221BE" w:rsidRDefault="005221BE">
      <w:pPr>
        <w:rPr>
          <w:lang w:val="en-US"/>
        </w:rPr>
      </w:pPr>
    </w:p>
    <w:p w:rsidR="005221BE" w:rsidRDefault="005221BE" w:rsidP="005221BE">
      <w:pPr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Пакет методической документации содержит 6 блоков и более 100 документов для практического применения в рамках самостоятельного внедрения системы прямых продаж юридическим лицам:</w:t>
      </w:r>
    </w:p>
    <w:p w:rsidR="005221BE" w:rsidRPr="005221BE" w:rsidRDefault="005221BE" w:rsidP="005221BE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1. Административный блок.</w:t>
      </w:r>
    </w:p>
    <w:p w:rsidR="005221BE" w:rsidRPr="005221BE" w:rsidRDefault="005221BE" w:rsidP="005221BE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1.1 Бизнес-процесс проведения совещаний.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1.2 Письмо-приглашение на совещание.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1.3 Протокол совещаний.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1.4 Особенности проведения совещаний.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 xml:space="preserve">1.5 Бизнес-процесс </w:t>
      </w:r>
      <w:proofErr w:type="gramStart"/>
      <w:r w:rsidRPr="005221BE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5221BE">
        <w:rPr>
          <w:rFonts w:ascii="Arial" w:eastAsia="Times New Roman" w:hAnsi="Arial" w:cs="Arial"/>
          <w:sz w:val="20"/>
          <w:szCs w:val="20"/>
          <w:lang w:eastAsia="ru-RU"/>
        </w:rPr>
        <w:t xml:space="preserve"> эффективностью менеджеров по продажам.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1.6 Методическое пособие по работе с CRM-системой.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1.7 Тайм-план менеджера по продажам.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1.8 Методы мотивации/демотивации менеджеров.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1.9 Бизнес-процесс распределения территории.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1.10 Распределение территории между менеджерами по продажам.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1.11 Работа со слоями 2 ГИС.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1.12 Методы расширения территории.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1.13 Бизнес-процесс взаимодействия клиентского отдела и отдела продаж.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1.14 Бизнес-процесс отчетности руководителя отдела продаж.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1.15 Отчет о подключении клиентов.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1.16 Расчет заработной платы сотрудников отдела продаж.</w:t>
      </w:r>
    </w:p>
    <w:p w:rsidR="005221BE" w:rsidRPr="005221BE" w:rsidRDefault="005221BE" w:rsidP="005221BE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2. Блок рекрутинга.</w:t>
      </w:r>
    </w:p>
    <w:p w:rsidR="005221BE" w:rsidRPr="005221BE" w:rsidRDefault="005221BE" w:rsidP="005221BE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2.1 Бизнес-процесс подбора персонала, холодный поиск.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2.2 Список сайтов для поиска персонала.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2.3 Принцип фильтрации резюме, основные требования к кандидату.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2.4 Образец приглашения на первичное интервью.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2.5 График собеседований.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2.6 Анкета кандидата.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2.7 Персональное интервью.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2.8 Пример информирования соискателей о решении.</w:t>
      </w:r>
    </w:p>
    <w:p w:rsidR="005221BE" w:rsidRPr="005221BE" w:rsidRDefault="005221BE" w:rsidP="005221BE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3. Блок обучения персонала</w:t>
      </w:r>
    </w:p>
    <w:p w:rsidR="005221BE" w:rsidRPr="005221BE" w:rsidRDefault="005221BE" w:rsidP="005221BE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3.1 Бизнес-процесс обучение персонала.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3.2 Корпоративная книга продаж.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3.3 Рабочая тетрадь менеджера, часть 1.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3.4 Рабочая тетрадь менеджера, часть 2.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3.5 Итоговая аттестация менеджера.</w:t>
      </w:r>
    </w:p>
    <w:p w:rsidR="005221BE" w:rsidRPr="005221BE" w:rsidRDefault="005221BE" w:rsidP="005221BE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 Блок менеджера по продажам.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4.1 Бизнес-процесс работы с территорией.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4.2 Список подключенных объектов.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4.3 Пример коммерческого приложения для малого бизнеса.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4.4 Пример коммерческого приложения для среднего бизнеса.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4.5 Пример коммерческого приложения для крупного бизнеса.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4.6 Бизнес-процесс продажи услуг охраны.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4.7 Бизнес-процесс отчетности менеджера.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4.8 Методическое пособие по работе с CRM-системой.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4.9 План проведения ежедневного оперативного совещания.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4.10 Бизнес-процесс подключения клиентов.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4.11 Реестр заявок на обследование.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4.12 Реестр заявок на подключение.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4.13 Договор об оказании услуг охраны.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4.14 Контакт-лист.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4.15 Наряд - заказ.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4.17 Информационный лист.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4.18 Счет на оплату.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4.19 Акт сдачи-приемки оборудования и услуг.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4.20 Опрос после подключения.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4.21 Памятка для клиента.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4.22 Бизнес-процесс подключения нового объекта.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4.23 Договор о размещении оборудования.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4.24 Протокол согласования разногласий.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4.25 Схема прокладки кабеля до оборудования.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4.26 Схема расположения оборудования.</w:t>
      </w:r>
    </w:p>
    <w:p w:rsidR="005221BE" w:rsidRPr="005221BE" w:rsidRDefault="005221BE" w:rsidP="005221BE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 Блок менеджера по сопровождению клиентов.</w:t>
      </w:r>
    </w:p>
    <w:p w:rsidR="005221BE" w:rsidRPr="005221BE" w:rsidRDefault="005221BE" w:rsidP="005221BE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5.1 Бизнес-процесс сопровождения клиентов.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5.2 Опрос клиентов с целью контроля качества и дополнительных продаж.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5.3 Отчет по сопровождению.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5.4 Пример тарифной сетки для повышения ARPU.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5.5 Реестр заявлений.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5.6 Соглашение о расторжении.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5.7 Акт возврата оборудования.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5.8 Изменение стоимости услуг - акт сдачи-приемки работ.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5.9 Бизнес-процесс прием и конвертация входящих обращений.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5.10 Задачи и схема обработки входящего обращения клиентским менеджером.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5.11 Заведение сделки на подключение.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5.12 Планирование коммуникаций с клиентом.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5.13 Проработка воронки продаж.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5.14 Бизнес-процесс отчетности менеджера по сопровождению клиентов.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5.15 Тайм-план менеджера по сопровождению клиентов.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5.16 Бизнес-процесс работы с должниками.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5.17 Текст СМС, электронных писем для отправки должникам.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5.18 Отчет по должникам.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5.19 Распределение ролей менеджеров и бухгалтеров.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5.20 Список документов для передачи дела в суд.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5.21 Текущий ежемесячный документооборот.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5.22 Ведомость по звонкам.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5.23 Общий отчет по юридическим лицам.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5.24 Отправка документов по электронной почте.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5.25 Инструкция по перезаключению договоров.</w:t>
      </w:r>
    </w:p>
    <w:p w:rsidR="005221BE" w:rsidRPr="005221BE" w:rsidRDefault="005221BE" w:rsidP="005221BE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 Блок документации, необходимой в работе.</w:t>
      </w:r>
    </w:p>
    <w:p w:rsidR="005221BE" w:rsidRPr="005221BE" w:rsidRDefault="005221BE" w:rsidP="005221BE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6.1 Договор Охранная сигнализация.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6.2 Договор Пожарная сигнализация.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6.3 Договор Кнопка тревожной сигнализации.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6.4 Договор на техническое обслуживание.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6.5 Договор на комплексное оказание услуг.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6.6 Дополнительное соглашение.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6.7 Соглашение о расторжении договора.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6.8 Инструкция по заполнению договора.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6.9 Инструкция по перезаключению договоров.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6.10 Инструкция. Документы необходимые от клиента при заключении договора.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6.11 Памятка для клиента при первичном заключении договора.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6.12 Памятка для менеджера при первичном заключении договора.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6.13 Заявление на допуск к оборудованию.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6.14 Заявления на возврат средств.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6.15 Заявление на приостановку оказания услуг.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6.16 Заявление на возобновление оказания услуг.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6.17 Коммерческие предложения на услуги охраны.</w:t>
      </w:r>
    </w:p>
    <w:p w:rsidR="005221BE" w:rsidRPr="005221BE" w:rsidRDefault="005221BE" w:rsidP="005221B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221BE">
        <w:rPr>
          <w:rFonts w:ascii="Arial" w:eastAsia="Times New Roman" w:hAnsi="Arial" w:cs="Arial"/>
          <w:sz w:val="20"/>
          <w:szCs w:val="20"/>
          <w:lang w:eastAsia="ru-RU"/>
        </w:rPr>
        <w:t>6.20 Презентация для отправки клиентам.</w:t>
      </w:r>
    </w:p>
    <w:p w:rsidR="005221BE" w:rsidRDefault="005221BE">
      <w:pPr>
        <w:rPr>
          <w:lang w:val="en-US"/>
        </w:rPr>
      </w:pPr>
    </w:p>
    <w:p w:rsidR="0061052A" w:rsidRPr="0061052A" w:rsidRDefault="0061052A" w:rsidP="0061052A">
      <w:pPr>
        <w:rPr>
          <w:rStyle w:val="a6"/>
          <w:rFonts w:ascii="Arial" w:hAnsi="Arial" w:cs="Arial"/>
          <w:b w:val="0"/>
          <w:color w:val="0B607F"/>
          <w:sz w:val="16"/>
          <w:szCs w:val="16"/>
        </w:rPr>
      </w:pPr>
      <w:r w:rsidRPr="0061052A">
        <w:rPr>
          <w:rStyle w:val="a6"/>
          <w:rFonts w:ascii="Arial" w:hAnsi="Arial" w:cs="Arial"/>
          <w:b w:val="0"/>
          <w:color w:val="0B607F"/>
          <w:sz w:val="16"/>
          <w:szCs w:val="16"/>
        </w:rPr>
        <w:t>___</w:t>
      </w:r>
      <w:r w:rsidRPr="0061052A">
        <w:rPr>
          <w:rStyle w:val="a6"/>
          <w:rFonts w:ascii="Arial" w:hAnsi="Arial" w:cs="Arial"/>
          <w:b w:val="0"/>
          <w:color w:val="0B607F"/>
          <w:sz w:val="16"/>
          <w:szCs w:val="16"/>
          <w:lang w:val="en-US"/>
        </w:rPr>
        <w:t>______</w:t>
      </w:r>
      <w:r w:rsidRPr="0061052A">
        <w:rPr>
          <w:rStyle w:val="a6"/>
          <w:rFonts w:ascii="Arial" w:hAnsi="Arial" w:cs="Arial"/>
          <w:b w:val="0"/>
          <w:color w:val="0B607F"/>
          <w:sz w:val="16"/>
          <w:szCs w:val="16"/>
        </w:rPr>
        <w:t>_________________________</w:t>
      </w:r>
      <w:r>
        <w:rPr>
          <w:rStyle w:val="a6"/>
          <w:rFonts w:ascii="Arial" w:hAnsi="Arial" w:cs="Arial"/>
          <w:b w:val="0"/>
          <w:color w:val="0B607F"/>
          <w:sz w:val="16"/>
          <w:szCs w:val="16"/>
          <w:lang w:val="en-US"/>
        </w:rPr>
        <w:t>__________________________________________________</w:t>
      </w:r>
      <w:r w:rsidRPr="0061052A">
        <w:rPr>
          <w:rStyle w:val="a6"/>
          <w:rFonts w:ascii="Arial" w:hAnsi="Arial" w:cs="Arial"/>
          <w:b w:val="0"/>
          <w:color w:val="0B607F"/>
          <w:sz w:val="16"/>
          <w:szCs w:val="16"/>
        </w:rPr>
        <w:t>_________________________________</w:t>
      </w:r>
    </w:p>
    <w:p w:rsidR="0061052A" w:rsidRPr="0061052A" w:rsidRDefault="0061052A" w:rsidP="0061052A">
      <w:pPr>
        <w:rPr>
          <w:rFonts w:ascii="Arial" w:hAnsi="Arial" w:cs="Arial"/>
          <w:color w:val="0B607F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62"/>
      </w:tblGrid>
      <w:tr w:rsidR="0061052A" w:rsidRPr="0061052A" w:rsidTr="0061052A">
        <w:trPr>
          <w:trHeight w:val="1087"/>
        </w:trPr>
        <w:tc>
          <w:tcPr>
            <w:tcW w:w="5920" w:type="dxa"/>
            <w:vAlign w:val="center"/>
          </w:tcPr>
          <w:p w:rsidR="0061052A" w:rsidRDefault="0061052A" w:rsidP="0061052A">
            <w:pPr>
              <w:jc w:val="left"/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  <w:t>Бестселлер Секьюрити.</w:t>
            </w:r>
          </w:p>
          <w:p w:rsidR="0061052A" w:rsidRDefault="0061052A" w:rsidP="0061052A">
            <w:pPr>
              <w:jc w:val="left"/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</w:pPr>
          </w:p>
          <w:p w:rsidR="0061052A" w:rsidRDefault="0061052A" w:rsidP="0061052A">
            <w:pPr>
              <w:jc w:val="left"/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  <w:t xml:space="preserve">практика привлечения и удержания клиентов </w:t>
            </w:r>
          </w:p>
          <w:p w:rsidR="0061052A" w:rsidRPr="0061052A" w:rsidRDefault="0061052A" w:rsidP="0061052A">
            <w:pPr>
              <w:jc w:val="left"/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  <w:t>для предприятий охраны</w:t>
            </w:r>
          </w:p>
          <w:p w:rsidR="0061052A" w:rsidRPr="0061052A" w:rsidRDefault="0061052A" w:rsidP="0061052A">
            <w:pPr>
              <w:jc w:val="left"/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</w:pPr>
          </w:p>
          <w:p w:rsidR="0061052A" w:rsidRPr="0061052A" w:rsidRDefault="0061052A" w:rsidP="0061052A">
            <w:pPr>
              <w:jc w:val="left"/>
              <w:rPr>
                <w:rFonts w:ascii="Arial" w:hAnsi="Arial" w:cs="Arial"/>
                <w:color w:val="0B607F"/>
                <w:sz w:val="16"/>
                <w:szCs w:val="16"/>
              </w:rPr>
            </w:pPr>
          </w:p>
        </w:tc>
        <w:tc>
          <w:tcPr>
            <w:tcW w:w="4762" w:type="dxa"/>
            <w:vAlign w:val="center"/>
          </w:tcPr>
          <w:p w:rsidR="0061052A" w:rsidRPr="0061052A" w:rsidRDefault="0061052A" w:rsidP="0061052A">
            <w:pPr>
              <w:jc w:val="right"/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  <w:lang w:val="en-US"/>
              </w:rPr>
            </w:pPr>
            <w:r w:rsidRPr="0061052A"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  <w:t>Тел</w:t>
            </w:r>
            <w:r w:rsidRPr="0061052A"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  <w:lang w:val="en-US"/>
              </w:rPr>
              <w:t>.: +7 (920) 778-87-13</w:t>
            </w:r>
          </w:p>
          <w:p w:rsidR="0061052A" w:rsidRPr="0061052A" w:rsidRDefault="0061052A" w:rsidP="0061052A">
            <w:pPr>
              <w:jc w:val="right"/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  <w:lang w:val="en-US"/>
              </w:rPr>
            </w:pPr>
            <w:r w:rsidRPr="0061052A"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  <w:lang w:val="en-US"/>
              </w:rPr>
              <w:t>E- mail: dir@</w:t>
            </w:r>
            <w:r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  <w:lang w:val="en-US"/>
              </w:rPr>
              <w:t>besec.ru</w:t>
            </w:r>
          </w:p>
          <w:p w:rsidR="0061052A" w:rsidRPr="0061052A" w:rsidRDefault="0061052A" w:rsidP="0061052A">
            <w:pPr>
              <w:jc w:val="right"/>
              <w:rPr>
                <w:rFonts w:ascii="Arial" w:hAnsi="Arial" w:cs="Arial"/>
                <w:color w:val="0B607F"/>
                <w:sz w:val="16"/>
                <w:szCs w:val="16"/>
                <w:lang w:val="en-US"/>
              </w:rPr>
            </w:pPr>
            <w:r w:rsidRPr="0061052A"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  <w:t xml:space="preserve">Сайт: </w:t>
            </w:r>
            <w:r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  <w:lang w:val="en-US"/>
              </w:rPr>
              <w:t>besec.ru</w:t>
            </w:r>
            <w:r w:rsidRPr="0061052A"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61052A" w:rsidRPr="005221BE" w:rsidRDefault="0061052A">
      <w:pPr>
        <w:rPr>
          <w:lang w:val="en-US"/>
        </w:rPr>
      </w:pPr>
    </w:p>
    <w:sectPr w:rsidR="0061052A" w:rsidRPr="005221BE" w:rsidSect="00522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1BE"/>
    <w:rsid w:val="0021118D"/>
    <w:rsid w:val="005221BE"/>
    <w:rsid w:val="0061052A"/>
    <w:rsid w:val="00E6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1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B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10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2017-02-18T05:22:00Z</dcterms:created>
  <dcterms:modified xsi:type="dcterms:W3CDTF">2017-02-18T05:39:00Z</dcterms:modified>
</cp:coreProperties>
</file>